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360090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76C838A5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360090">
        <w:rPr>
          <w:rFonts w:ascii="Verdana" w:hAnsi="Verdana"/>
          <w:b/>
          <w:bCs/>
          <w:sz w:val="20"/>
          <w:szCs w:val="20"/>
        </w:rPr>
        <w:t>.  N°4</w:t>
      </w:r>
    </w:p>
    <w:p w14:paraId="010D7677" w14:textId="09371372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</w:t>
      </w:r>
      <w:r w:rsidR="00360090">
        <w:rPr>
          <w:rFonts w:ascii="Verdana" w:hAnsi="Verdana"/>
          <w:b/>
          <w:bCs/>
          <w:sz w:val="20"/>
          <w:szCs w:val="20"/>
        </w:rPr>
        <w:t>“Problemas versus conflictos</w:t>
      </w:r>
      <w:r w:rsidR="004059D2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Gisella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Manascero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6A37FD9C" w:rsidR="00B93D66" w:rsidRPr="00D84B4A" w:rsidRDefault="00360090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5BE9DF4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194CB77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5"/>
            </w:tblGrid>
            <w:tr w:rsidR="00360090" w:rsidRPr="00360090" w14:paraId="7D6367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0" w:type="auto"/>
                </w:tcPr>
                <w:p w14:paraId="544E7D21" w14:textId="322E82A3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0090">
                    <w:rPr>
                      <w:rFonts w:ascii="Arial" w:hAnsi="Arial" w:cs="Arial"/>
                      <w:bCs/>
                      <w:color w:val="000000"/>
                    </w:rPr>
                    <w:t xml:space="preserve">Distinguir entre problemas y conflictos. </w:t>
                  </w:r>
                </w:p>
                <w:p w14:paraId="62234037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Agency FB"/>
                      <w:color w:val="000000"/>
                    </w:rPr>
                  </w:pPr>
                  <w:r w:rsidRPr="00360090">
                    <w:rPr>
                      <w:rFonts w:ascii="Arial" w:hAnsi="Arial" w:cs="Arial"/>
                      <w:bCs/>
                      <w:color w:val="000000"/>
                    </w:rPr>
                    <w:t>Analizar conflictos cotidianos.</w:t>
                  </w:r>
                  <w:r w:rsidRPr="00360090">
                    <w:rPr>
                      <w:rFonts w:ascii="Agency FB" w:hAnsi="Agency FB" w:cs="Agency FB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433FAE55" w14:textId="5AC5FAAB" w:rsidR="00FC4DF5" w:rsidRPr="00D84B4A" w:rsidRDefault="00FC4DF5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4"/>
            </w:tblGrid>
            <w:tr w:rsidR="000763BA" w:rsidRPr="00BB7FA2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2622734D" w:rsidR="000763BA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Lea, observe </w:t>
                  </w:r>
                  <w:r w:rsidR="00474FB7">
                    <w:rPr>
                      <w:rFonts w:ascii="Arial" w:hAnsi="Arial" w:cs="Arial"/>
                      <w:sz w:val="22"/>
                      <w:szCs w:val="22"/>
                    </w:rPr>
                    <w:t>las</w:t>
                  </w: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 imágenes y responda las preguntas de la guía en el CUADERNO. </w:t>
                  </w:r>
                </w:p>
                <w:p w14:paraId="4EF4ED15" w14:textId="40DBE198" w:rsidR="000763BA" w:rsidRPr="00BB7FA2" w:rsidRDefault="000763BA" w:rsidP="001C0D4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A24E334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0"/>
            </w:tblGrid>
            <w:tr w:rsidR="00360090" w:rsidRPr="00360090" w14:paraId="1F5268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0" w:type="auto"/>
                </w:tcPr>
                <w:p w14:paraId="742D4C81" w14:textId="5C42756A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0090">
                    <w:rPr>
                      <w:rFonts w:ascii="Arial" w:hAnsi="Arial" w:cs="Arial"/>
                      <w:bCs/>
                      <w:color w:val="000000"/>
                    </w:rPr>
                    <w:t xml:space="preserve">Módulo II: Resolución pacífica de conflictos. </w:t>
                  </w:r>
                </w:p>
                <w:p w14:paraId="08DCF291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360090">
                    <w:rPr>
                      <w:rFonts w:ascii="Arial" w:hAnsi="Arial" w:cs="Arial"/>
                      <w:bCs/>
                      <w:color w:val="000000"/>
                    </w:rPr>
                    <w:t xml:space="preserve">Unidad 1: Los diferentes componentes y etapas del conflicto. </w:t>
                  </w:r>
                </w:p>
              </w:tc>
            </w:tr>
          </w:tbl>
          <w:p w14:paraId="7075064C" w14:textId="001FF2C3" w:rsidR="00FC4DF5" w:rsidRPr="00FC4DF5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</w:p>
          <w:p w14:paraId="7801E364" w14:textId="07CAB464" w:rsidR="00B93D66" w:rsidRPr="00D84B4A" w:rsidRDefault="00B93D66" w:rsidP="00474F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72160AA3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4059D2" w:rsidRPr="004059D2" w14:paraId="5559A49E" w14:textId="77777777">
              <w:trPr>
                <w:trHeight w:val="631"/>
              </w:trPr>
              <w:tc>
                <w:tcPr>
                  <w:tcW w:w="0" w:type="auto"/>
                </w:tcPr>
                <w:p w14:paraId="1BC10C69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19"/>
                  </w:tblGrid>
                  <w:tr w:rsidR="00360090" w:rsidRPr="00360090" w14:paraId="73FF26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0"/>
                    </w:trPr>
                    <w:tc>
                      <w:tcPr>
                        <w:tcW w:w="0" w:type="auto"/>
                      </w:tcPr>
                      <w:p w14:paraId="5805DD14" w14:textId="5DE06D19" w:rsidR="00360090" w:rsidRPr="00360090" w:rsidRDefault="00360090" w:rsidP="003600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0090">
                          <w:rPr>
                            <w:rFonts w:ascii="Arial" w:hAnsi="Arial" w:cs="Arial"/>
                            <w:bCs/>
                            <w:color w:val="000000"/>
                          </w:rPr>
                          <w:t xml:space="preserve">Reconocer y analizar en base a sus experiencias los elementos centrales de un conflicto en un contexto interpersonal o grupal. </w:t>
                        </w:r>
                      </w:p>
                    </w:tc>
                  </w:tr>
                </w:tbl>
                <w:p w14:paraId="52A31496" w14:textId="7C9F58FE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ABBE7D9" w14:textId="78AEC0FD" w:rsidR="00B93D66" w:rsidRPr="00D84B4A" w:rsidRDefault="00B93D66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629"/>
      </w:tblGrid>
      <w:tr w:rsidR="00474FB7" w:rsidRPr="00474FB7" w14:paraId="7B3F607A" w14:textId="77777777" w:rsidTr="003508DE">
        <w:tc>
          <w:tcPr>
            <w:tcW w:w="9351" w:type="dxa"/>
          </w:tcPr>
          <w:p w14:paraId="5569DA70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3"/>
            </w:tblGrid>
            <w:tr w:rsidR="00360090" w:rsidRPr="00360090" w14:paraId="7E6FE3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14:paraId="58EDD81F" w14:textId="55F501E9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  <w:u w:val="single"/>
                    </w:rPr>
                    <w:t>Comienzo</w:t>
                  </w:r>
                  <w:r w:rsidRPr="00360090">
                    <w:rPr>
                      <w:rFonts w:ascii="Calibri" w:hAnsi="Calibri" w:cs="Calibri"/>
                      <w:color w:val="000000"/>
                    </w:rPr>
                    <w:t xml:space="preserve">: </w:t>
                  </w:r>
                </w:p>
                <w:p w14:paraId="37890A82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</w:rPr>
                    <w:t xml:space="preserve">Lluvia de ideas: </w:t>
                  </w:r>
                </w:p>
                <w:p w14:paraId="1F64F0A0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</w:rPr>
                    <w:t xml:space="preserve">Antes de comenzar con la guía, observa la imagen y piensa en qué se diferencian estos dos conceptos: PROBLEMA y CONFLICTO </w:t>
                  </w:r>
                </w:p>
              </w:tc>
            </w:tr>
          </w:tbl>
          <w:p w14:paraId="7F75AF00" w14:textId="258983A0" w:rsidR="00FC4DF5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78B6592" w14:textId="044F4F49" w:rsidR="00360090" w:rsidRPr="00474FB7" w:rsidRDefault="00360090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360090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lastRenderedPageBreak/>
              <w:drawing>
                <wp:inline distT="0" distB="0" distL="0" distR="0" wp14:anchorId="5795BBD3" wp14:editId="789196B3">
                  <wp:extent cx="6115050" cy="25241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F191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46FABD1" w14:textId="77777777" w:rsidR="00360090" w:rsidRPr="00360090" w:rsidRDefault="00360090" w:rsidP="003600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3"/>
            </w:tblGrid>
            <w:tr w:rsidR="00360090" w:rsidRPr="00360090" w14:paraId="3E11B5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08"/>
              </w:trPr>
              <w:tc>
                <w:tcPr>
                  <w:tcW w:w="0" w:type="auto"/>
                </w:tcPr>
                <w:p w14:paraId="6B1F3A81" w14:textId="59348C4E" w:rsid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  <w:t xml:space="preserve">Desarrollo: 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  <w:t xml:space="preserve"> </w:t>
                  </w:r>
                </w:p>
                <w:p w14:paraId="4FF77CA7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14:paraId="28144EF1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Un </w:t>
                  </w:r>
                  <w:r w:rsidRPr="00360090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conflicto </w:t>
                  </w:r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es una situación que implica un </w:t>
                  </w:r>
                  <w:r w:rsidRPr="00360090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problema</w:t>
                  </w:r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, una dificultad y puede suscitar posteriores enfrentamientos, generalmente, entre dos partes o pueden ser más también, cuyos intereses, valores y pensamientos observan posiciones absolutamente disímiles y contrapuestas. </w:t>
                  </w:r>
                </w:p>
                <w:p w14:paraId="2E253291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60090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Problema </w:t>
                  </w:r>
                </w:p>
                <w:p w14:paraId="6411B54C" w14:textId="77777777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</w:rPr>
                    <w:t xml:space="preserve">Problema es la situación que se da cuando hay una diferencia de ideas oposiciones entre dos o más partes. Las partes comprenden la necesidad de buscar una posición única y buscan una solución. En este estado de problema, los sentimientos no se involucran y la comunicación entre las partes se mantiene abierta y activa. un problema es algo que tiene ya establecida una respuesta. Un problema suele ser un asunto del que se espera una solución. </w:t>
                  </w:r>
                </w:p>
                <w:p w14:paraId="1C9A1668" w14:textId="77777777" w:rsid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El problema pasa a ser un conflicto cuando, además de no darle una solución satisfactoria personal, nos hace sentirnos mal con nosotros mismos o con otros. Esto significa que entran en juego un sistema de creencias y emociones, que pueden dificultar la resolución del conflicto. Las creencias tienen que ver con la visión que tenemos de nosotros mismos, de los otros y del mundo. Esto reactiva las emociones más primarias que se derivan de esta visión, como pueden ser la rabia, el miedo, la culpa, la desvalorización </w:t>
                  </w:r>
                  <w:proofErr w:type="spellStart"/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etc</w:t>
                  </w:r>
                  <w:proofErr w:type="spellEnd"/>
                  <w:r w:rsidRPr="0036009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, bien sea hacia nosotros mismos o hacia los otros. </w:t>
                  </w:r>
                </w:p>
                <w:p w14:paraId="22AFF18F" w14:textId="77777777" w:rsidR="00360090" w:rsidRPr="00360090" w:rsidRDefault="00360090" w:rsidP="00360090">
                  <w:pPr>
                    <w:pStyle w:val="Default"/>
                  </w:pPr>
                  <w:r w:rsidRPr="00360090">
                    <w:rPr>
                      <w:b/>
                      <w:bCs/>
                    </w:rPr>
                    <w:t xml:space="preserve">Conflicto </w:t>
                  </w:r>
                </w:p>
                <w:p w14:paraId="52D2BC23" w14:textId="77777777" w:rsidR="00360090" w:rsidRPr="00360090" w:rsidRDefault="00360090" w:rsidP="00360090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 w:rsidRPr="00360090">
                    <w:rPr>
                      <w:rFonts w:asciiTheme="majorHAnsi" w:hAnsiTheme="majorHAnsi" w:cstheme="majorHAnsi"/>
                    </w:rPr>
                    <w:t xml:space="preserve">El conflicto es una fase más profunda del problema, es cuando las partes que mantienen una diferencia involucran sentimientos en la situación y, la comunicación entre las partes se pierde o es muy pobre. Usualmente para resolver conflictos se requiere de un tercero que ayude a restablecer la comunicación entre las partes encontradas, para poder buscar una solución. y conflicto dos cerebros que no piensan una respuesta. y un conflicto se refiere a una situación en la que dos personas no están de acuerdo con la forma de actuar de una de ellas, o con que una de ellas tome las decisiones. </w:t>
                  </w:r>
                </w:p>
                <w:p w14:paraId="16650F89" w14:textId="00AEAB74" w:rsidR="00360090" w:rsidRPr="00360090" w:rsidRDefault="00360090" w:rsidP="00360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60090">
                    <w:rPr>
                      <w:rFonts w:asciiTheme="majorHAnsi" w:hAnsiTheme="majorHAnsi" w:cstheme="majorHAnsi"/>
                      <w:sz w:val="24"/>
                      <w:szCs w:val="24"/>
                    </w:rPr>
                    <w:t>En un conflicto se ponen en juego toda una serie de creencias, lealtades invisibles, valores, emociones y sentimientos que van a influir en la forma en que nos enfrentemos al conflicto, así como en la búsqueda de la solución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FA93569" w14:textId="61E727EB" w:rsidR="00B93D66" w:rsidRPr="00474FB7" w:rsidRDefault="00B93D66" w:rsidP="00822913">
            <w:pPr>
              <w:rPr>
                <w:rFonts w:cstheme="minorHAnsi"/>
                <w:sz w:val="24"/>
                <w:szCs w:val="24"/>
              </w:rPr>
            </w:pPr>
          </w:p>
          <w:p w14:paraId="36E3A90D" w14:textId="77777777" w:rsidR="00360090" w:rsidRDefault="00360090" w:rsidP="00360090">
            <w:pPr>
              <w:pStyle w:val="Default"/>
              <w:rPr>
                <w:rFonts w:cstheme="minorBidi"/>
                <w:color w:val="auto"/>
              </w:rPr>
            </w:pPr>
          </w:p>
          <w:p w14:paraId="56D9353B" w14:textId="77777777" w:rsidR="00360090" w:rsidRDefault="00360090" w:rsidP="00360090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•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Según la imagen, el texto y observando este video crea tu propio afiche en dónde se diferencien estos dos conceptos. </w:t>
            </w:r>
          </w:p>
          <w:p w14:paraId="34A1BE98" w14:textId="77777777" w:rsidR="00360090" w:rsidRDefault="00360090" w:rsidP="00822913">
            <w:pPr>
              <w:rPr>
                <w:rFonts w:cstheme="minorHAnsi"/>
                <w:sz w:val="24"/>
                <w:szCs w:val="24"/>
              </w:rPr>
            </w:pPr>
          </w:p>
          <w:p w14:paraId="3F2ABC1F" w14:textId="77777777" w:rsidR="00360090" w:rsidRDefault="00360090" w:rsidP="00822913">
            <w:pPr>
              <w:rPr>
                <w:rFonts w:cstheme="minorHAnsi"/>
                <w:sz w:val="24"/>
                <w:szCs w:val="24"/>
              </w:rPr>
            </w:pPr>
          </w:p>
          <w:p w14:paraId="726F0D58" w14:textId="0F0A4FE6" w:rsidR="00B93D66" w:rsidRDefault="00360090" w:rsidP="00822913">
            <w:pPr>
              <w:rPr>
                <w:rFonts w:cstheme="minorHAnsi"/>
                <w:sz w:val="24"/>
                <w:szCs w:val="24"/>
              </w:rPr>
            </w:pPr>
            <w:r w:rsidRPr="0036009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80A1A1" wp14:editId="470668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100330</wp:posOffset>
                      </wp:positionV>
                      <wp:extent cx="5457825" cy="35909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359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16F99" w14:textId="39653918" w:rsidR="00360090" w:rsidRDefault="003600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0A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.45pt;margin-top:7.9pt;width:429.75pt;height:28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">
                      <v:textbox>
                        <w:txbxContent>
                          <w:p w14:paraId="75816F99" w14:textId="39653918" w:rsidR="00360090" w:rsidRDefault="003600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22DD63" w14:textId="77777777" w:rsidR="00360090" w:rsidRDefault="00360090" w:rsidP="00822913">
            <w:pPr>
              <w:rPr>
                <w:rFonts w:cstheme="minorHAnsi"/>
                <w:sz w:val="24"/>
                <w:szCs w:val="24"/>
              </w:rPr>
            </w:pPr>
          </w:p>
          <w:p w14:paraId="21AEE292" w14:textId="77777777" w:rsidR="00360090" w:rsidRPr="00360090" w:rsidRDefault="00360090" w:rsidP="00360090">
            <w:pPr>
              <w:pStyle w:val="Default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360090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Cierre: </w:t>
            </w:r>
          </w:p>
          <w:p w14:paraId="4D36CE82" w14:textId="77777777" w:rsidR="00360090" w:rsidRPr="00360090" w:rsidRDefault="00360090" w:rsidP="00360090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3"/>
                <w:szCs w:val="23"/>
              </w:rPr>
            </w:pP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 xml:space="preserve">• Nombra 3 conflictos personales que tú tienes, analizando las situaciones de cada uno de ellos. Aquí escribo un ejemplo. </w:t>
            </w:r>
          </w:p>
          <w:p w14:paraId="4A9D3867" w14:textId="6FB9FA20" w:rsidR="00360090" w:rsidRPr="00360090" w:rsidRDefault="00360090" w:rsidP="00360090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3"/>
                <w:szCs w:val="23"/>
              </w:rPr>
            </w:pP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>1. Conflictos personales con mi pareja. Analiza</w:t>
            </w:r>
            <w:bookmarkStart w:id="0" w:name="_GoBack"/>
            <w:bookmarkEnd w:id="0"/>
            <w:r w:rsidRPr="00360090">
              <w:rPr>
                <w:rFonts w:asciiTheme="majorHAnsi" w:hAnsiTheme="majorHAnsi" w:cstheme="majorHAnsi"/>
                <w:sz w:val="23"/>
                <w:szCs w:val="23"/>
              </w:rPr>
              <w:t xml:space="preserve">ndo la </w:t>
            </w: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>situación, se</w:t>
            </w: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 xml:space="preserve"> podría dar por la falta de comunicación entre ambos. </w:t>
            </w:r>
          </w:p>
          <w:p w14:paraId="0C89A5D5" w14:textId="77777777" w:rsidR="00360090" w:rsidRPr="00360090" w:rsidRDefault="00360090" w:rsidP="00360090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3"/>
                <w:szCs w:val="23"/>
              </w:rPr>
            </w:pP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 xml:space="preserve">2. ________________________________________ </w:t>
            </w:r>
          </w:p>
          <w:p w14:paraId="17AB8AC3" w14:textId="77777777" w:rsidR="00360090" w:rsidRPr="00360090" w:rsidRDefault="00360090" w:rsidP="00360090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3"/>
                <w:szCs w:val="23"/>
              </w:rPr>
            </w:pPr>
            <w:r w:rsidRPr="00360090">
              <w:rPr>
                <w:rFonts w:asciiTheme="majorHAnsi" w:hAnsiTheme="majorHAnsi" w:cstheme="majorHAnsi"/>
                <w:sz w:val="23"/>
                <w:szCs w:val="23"/>
              </w:rPr>
              <w:t xml:space="preserve">3. ________________________________________ </w:t>
            </w:r>
          </w:p>
          <w:p w14:paraId="03875E75" w14:textId="19A7E5AD" w:rsidR="00360090" w:rsidRPr="00474FB7" w:rsidRDefault="00360090" w:rsidP="008229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F9492" w14:textId="77777777" w:rsidR="00B93D66" w:rsidRPr="00474FB7" w:rsidRDefault="00B93D66" w:rsidP="00822913">
      <w:pPr>
        <w:spacing w:after="0"/>
        <w:rPr>
          <w:rFonts w:cstheme="minorHAnsi"/>
          <w:sz w:val="24"/>
          <w:szCs w:val="24"/>
        </w:rPr>
      </w:pPr>
    </w:p>
    <w:sectPr w:rsidR="00B93D66" w:rsidRPr="00474FB7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F0CA90"/>
    <w:multiLevelType w:val="hybridMultilevel"/>
    <w:tmpl w:val="F1D99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527A"/>
    <w:multiLevelType w:val="hybridMultilevel"/>
    <w:tmpl w:val="0CB73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002B"/>
    <w:multiLevelType w:val="hybridMultilevel"/>
    <w:tmpl w:val="CF4A09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3239F"/>
    <w:rsid w:val="00162877"/>
    <w:rsid w:val="00181C2E"/>
    <w:rsid w:val="001C0D4A"/>
    <w:rsid w:val="001D1E48"/>
    <w:rsid w:val="001F6A26"/>
    <w:rsid w:val="00257E9B"/>
    <w:rsid w:val="003508DE"/>
    <w:rsid w:val="00360090"/>
    <w:rsid w:val="004059D2"/>
    <w:rsid w:val="0041618A"/>
    <w:rsid w:val="00474FB7"/>
    <w:rsid w:val="00514AED"/>
    <w:rsid w:val="0054011C"/>
    <w:rsid w:val="00822913"/>
    <w:rsid w:val="008313E5"/>
    <w:rsid w:val="00976066"/>
    <w:rsid w:val="00A33AFC"/>
    <w:rsid w:val="00A627BB"/>
    <w:rsid w:val="00B04FE4"/>
    <w:rsid w:val="00B93D66"/>
    <w:rsid w:val="00BB7FA2"/>
    <w:rsid w:val="00C031F4"/>
    <w:rsid w:val="00C84B86"/>
    <w:rsid w:val="00D84B4A"/>
    <w:rsid w:val="00DB6A13"/>
    <w:rsid w:val="00E349B0"/>
    <w:rsid w:val="00E514B3"/>
    <w:rsid w:val="00E97C68"/>
    <w:rsid w:val="00EC4ABE"/>
    <w:rsid w:val="00EE664F"/>
    <w:rsid w:val="00F048C5"/>
    <w:rsid w:val="00F31AF5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Pamela Suazo</cp:lastModifiedBy>
  <cp:revision>37</cp:revision>
  <dcterms:created xsi:type="dcterms:W3CDTF">2021-02-26T23:34:00Z</dcterms:created>
  <dcterms:modified xsi:type="dcterms:W3CDTF">2021-05-13T14:42:00Z</dcterms:modified>
</cp:coreProperties>
</file>